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0D1E5E" w14:paraId="6AF150F1" w14:textId="77777777" w:rsidTr="000D1E5E">
        <w:tc>
          <w:tcPr>
            <w:tcW w:w="1668" w:type="dxa"/>
          </w:tcPr>
          <w:p w14:paraId="4AF2F6F4" w14:textId="77777777" w:rsidR="000D1E5E" w:rsidRDefault="000D1E5E" w:rsidP="000D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17DDD3" wp14:editId="15A59609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5F8BA8A" w14:textId="77777777" w:rsidR="000D1E5E" w:rsidRDefault="000D1E5E" w:rsidP="000D1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C799B75" wp14:editId="304D9638">
                  <wp:extent cx="1181686" cy="118168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1219406A" w14:textId="77777777" w:rsidR="000D1E5E" w:rsidRPr="00F95A13" w:rsidRDefault="000D1E5E" w:rsidP="000D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8D4C8" w14:textId="77777777" w:rsidR="000D1E5E" w:rsidRPr="00F95A13" w:rsidRDefault="000D1E5E" w:rsidP="000D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4C97F84A" w14:textId="77777777" w:rsidR="000D1E5E" w:rsidRPr="00F95A13" w:rsidRDefault="000D1E5E" w:rsidP="000D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7D1CFDA1" w14:textId="77777777" w:rsidR="000D1E5E" w:rsidRPr="00F95A13" w:rsidRDefault="000D1E5E" w:rsidP="000D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5C3B0605" w14:textId="77777777" w:rsidR="000D1E5E" w:rsidRPr="00F95A13" w:rsidRDefault="000D1E5E" w:rsidP="000D1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2C375" w14:textId="77777777" w:rsidR="000D1E5E" w:rsidRPr="00F7201F" w:rsidRDefault="000D1E5E" w:rsidP="000D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6BB2DE7" w14:textId="2F308C03" w:rsidR="000D1E5E" w:rsidRDefault="00C03A62" w:rsidP="000D1E5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BD75" wp14:editId="3A3F732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7C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65pt;margin-top:5.6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15DCD69B" w14:textId="6BD87206" w:rsidR="000D1E5E" w:rsidRDefault="000D1E5E" w:rsidP="000D1E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Якутск, ул. Орджоникидзе, дом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03A62">
        <w:rPr>
          <w:rFonts w:ascii="Times New Roman" w:hAnsi="Times New Roman" w:cs="Times New Roman"/>
          <w:b/>
        </w:rPr>
        <w:t>10.08.</w:t>
      </w:r>
      <w:r w:rsidRPr="001121B8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</w:p>
    <w:p w14:paraId="5421AA0F" w14:textId="77777777" w:rsidR="000D1E5E" w:rsidRDefault="000D1E5E" w:rsidP="000D1E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42-45-18</w:t>
      </w:r>
    </w:p>
    <w:p w14:paraId="2A85F2AB" w14:textId="77777777" w:rsidR="000D1E5E" w:rsidRDefault="000D1E5E" w:rsidP="000D1E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FDA69DC" w14:textId="3D13E832" w:rsidR="00CA2D13" w:rsidRDefault="00A33346" w:rsidP="00C03A62">
      <w:pPr>
        <w:pStyle w:val="2"/>
        <w:widowControl w:val="0"/>
        <w:spacing w:line="312" w:lineRule="auto"/>
        <w:rPr>
          <w:b w:val="0"/>
          <w:sz w:val="24"/>
          <w:szCs w:val="24"/>
        </w:rPr>
      </w:pPr>
      <w:r>
        <w:rPr>
          <w:rFonts w:eastAsiaTheme="minorEastAsia"/>
          <w:sz w:val="32"/>
          <w:szCs w:val="24"/>
        </w:rPr>
        <w:t>Строительная</w:t>
      </w:r>
      <w:r w:rsidR="00983542">
        <w:rPr>
          <w:rFonts w:eastAsiaTheme="minorEastAsia"/>
          <w:sz w:val="32"/>
          <w:szCs w:val="24"/>
        </w:rPr>
        <w:t xml:space="preserve"> </w:t>
      </w:r>
      <w:r w:rsidR="00C03A62" w:rsidRPr="00C03A62">
        <w:rPr>
          <w:rFonts w:eastAsiaTheme="minorEastAsia"/>
          <w:sz w:val="32"/>
          <w:szCs w:val="24"/>
        </w:rPr>
        <w:t>деятельност</w:t>
      </w:r>
      <w:r>
        <w:rPr>
          <w:rFonts w:eastAsiaTheme="minorEastAsia"/>
          <w:sz w:val="32"/>
          <w:szCs w:val="24"/>
        </w:rPr>
        <w:t>ь</w:t>
      </w:r>
      <w:r w:rsidR="00983542">
        <w:rPr>
          <w:rFonts w:eastAsiaTheme="minorEastAsia"/>
          <w:sz w:val="32"/>
          <w:szCs w:val="24"/>
        </w:rPr>
        <w:t xml:space="preserve"> </w:t>
      </w:r>
      <w:r w:rsidR="00C03A62" w:rsidRPr="00C03A62">
        <w:rPr>
          <w:rFonts w:eastAsiaTheme="minorEastAsia"/>
          <w:sz w:val="32"/>
          <w:szCs w:val="24"/>
        </w:rPr>
        <w:t>в Республике Саха</w:t>
      </w:r>
      <w:r w:rsidR="00CA2DD6">
        <w:rPr>
          <w:rFonts w:eastAsiaTheme="minorEastAsia"/>
          <w:sz w:val="32"/>
          <w:szCs w:val="24"/>
        </w:rPr>
        <w:t xml:space="preserve"> </w:t>
      </w:r>
      <w:r w:rsidR="00C03A62" w:rsidRPr="00C03A62">
        <w:rPr>
          <w:rFonts w:eastAsiaTheme="minorEastAsia"/>
          <w:sz w:val="32"/>
          <w:szCs w:val="24"/>
        </w:rPr>
        <w:t>(Якутия)</w:t>
      </w:r>
      <w:r>
        <w:rPr>
          <w:rFonts w:eastAsiaTheme="minorEastAsia"/>
          <w:sz w:val="32"/>
          <w:szCs w:val="24"/>
        </w:rPr>
        <w:t xml:space="preserve">               </w:t>
      </w:r>
      <w:r w:rsidR="00842DAE">
        <w:rPr>
          <w:rFonts w:eastAsiaTheme="minorEastAsia"/>
          <w:sz w:val="32"/>
          <w:szCs w:val="24"/>
        </w:rPr>
        <w:t>в январе-июне 2023 года</w:t>
      </w:r>
    </w:p>
    <w:p w14:paraId="26680862" w14:textId="6B5A683A" w:rsidR="00C03A62" w:rsidRPr="00C03A62" w:rsidRDefault="00C03A62" w:rsidP="00C0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C03A62">
        <w:rPr>
          <w:rFonts w:ascii="Times New Roman" w:eastAsia="Times New Roman" w:hAnsi="Times New Roman" w:cs="Times New Roman"/>
          <w:i/>
          <w:iCs/>
          <w:szCs w:val="20"/>
        </w:rPr>
        <w:t>В 2023 году в Республике Саха (Якутия) строительную деятельность осуществляли 3109 организаций, в которых трудится более 43 тыс. человек (более 11% от численности работников организаций всех видов деятельности).</w:t>
      </w:r>
      <w:r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C03A62">
        <w:rPr>
          <w:rFonts w:ascii="Times New Roman" w:eastAsia="Times New Roman" w:hAnsi="Times New Roman" w:cs="Times New Roman"/>
          <w:i/>
          <w:iCs/>
          <w:szCs w:val="20"/>
        </w:rPr>
        <w:t>Объем работ, выполненных по виду деятельности «Строительство»</w:t>
      </w:r>
      <w:r>
        <w:rPr>
          <w:rFonts w:ascii="Times New Roman" w:eastAsia="Times New Roman" w:hAnsi="Times New Roman" w:cs="Times New Roman"/>
          <w:i/>
          <w:iCs/>
          <w:szCs w:val="20"/>
        </w:rPr>
        <w:t>,</w:t>
      </w:r>
      <w:r w:rsidRPr="00C03A62">
        <w:rPr>
          <w:rFonts w:ascii="Times New Roman" w:eastAsia="Times New Roman" w:hAnsi="Times New Roman" w:cs="Times New Roman"/>
          <w:i/>
          <w:iCs/>
          <w:szCs w:val="20"/>
        </w:rPr>
        <w:t xml:space="preserve"> в январе-июне 2023</w:t>
      </w:r>
      <w:r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C03A62">
        <w:rPr>
          <w:rFonts w:ascii="Times New Roman" w:eastAsia="Times New Roman" w:hAnsi="Times New Roman" w:cs="Times New Roman"/>
          <w:i/>
          <w:iCs/>
          <w:szCs w:val="20"/>
        </w:rPr>
        <w:t>года</w:t>
      </w:r>
      <w:r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="008C7DCB">
        <w:rPr>
          <w:rFonts w:ascii="Times New Roman" w:eastAsia="Times New Roman" w:hAnsi="Times New Roman" w:cs="Times New Roman"/>
          <w:i/>
          <w:iCs/>
          <w:szCs w:val="20"/>
        </w:rPr>
        <w:t>увеличился в сопоставимых ценах на 17,1% по сравнению с январем-июнем 2022 года.</w:t>
      </w:r>
    </w:p>
    <w:p w14:paraId="00166B13" w14:textId="27BFCB12" w:rsidR="00C03A62" w:rsidRDefault="008C7DCB" w:rsidP="00C0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>
        <w:rPr>
          <w:rFonts w:ascii="Times New Roman" w:eastAsia="Times New Roman" w:hAnsi="Times New Roman" w:cs="Times New Roman"/>
          <w:i/>
          <w:iCs/>
          <w:szCs w:val="20"/>
        </w:rPr>
        <w:t>В первом полугодии</w:t>
      </w:r>
      <w:r w:rsidR="00C03A62" w:rsidRPr="00C03A62">
        <w:rPr>
          <w:rFonts w:ascii="Times New Roman" w:eastAsia="Times New Roman" w:hAnsi="Times New Roman" w:cs="Times New Roman"/>
          <w:i/>
          <w:iCs/>
          <w:szCs w:val="20"/>
        </w:rPr>
        <w:t xml:space="preserve"> на территории Республики Саха (Якутия) за счет всех источников финансирования построено 1799 жилых домов общей площадью 254,4 тыс. кв. метров. Темп роста введенного жилья по сравнению с аналогичным пери</w:t>
      </w:r>
      <w:r>
        <w:rPr>
          <w:rFonts w:ascii="Times New Roman" w:eastAsia="Times New Roman" w:hAnsi="Times New Roman" w:cs="Times New Roman"/>
          <w:i/>
          <w:iCs/>
          <w:szCs w:val="20"/>
        </w:rPr>
        <w:t>одом предыдущего года составил</w:t>
      </w:r>
      <w:r w:rsidR="00C03A62" w:rsidRPr="00C03A62">
        <w:rPr>
          <w:rFonts w:ascii="Times New Roman" w:eastAsia="Times New Roman" w:hAnsi="Times New Roman" w:cs="Times New Roman"/>
          <w:i/>
          <w:iCs/>
          <w:szCs w:val="20"/>
        </w:rPr>
        <w:t xml:space="preserve"> 127,4%. Ввод общей площади жилья в расчете на 1000 человек населения вырос с 200,2 кв. метров в январе-июне 2022 г. до 255,1 кв. метров в 2023 г.</w:t>
      </w:r>
    </w:p>
    <w:p w14:paraId="1F835BEA" w14:textId="77777777" w:rsidR="008C7DCB" w:rsidRDefault="00C03A62" w:rsidP="00C0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3A62">
        <w:rPr>
          <w:rFonts w:ascii="Times New Roman" w:eastAsia="Times New Roman" w:hAnsi="Times New Roman" w:cs="Times New Roman"/>
          <w:szCs w:val="20"/>
        </w:rPr>
        <w:t>Объем работ, выполненных по виду деятельности «Строительство» (с учетом объема работ, не наблюдаемых прямыми статистическими методами) за январь-июнь 2023 года составил 93 336,9 млн. рублей</w:t>
      </w:r>
      <w:r w:rsidR="008C7DCB">
        <w:rPr>
          <w:rFonts w:ascii="Times New Roman" w:eastAsia="Times New Roman" w:hAnsi="Times New Roman" w:cs="Times New Roman"/>
        </w:rPr>
        <w:t>.</w:t>
      </w:r>
    </w:p>
    <w:p w14:paraId="130A275D" w14:textId="0D69F07C" w:rsidR="00C03A62" w:rsidRPr="00C03A62" w:rsidRDefault="00C03A62" w:rsidP="00C0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C03A62">
        <w:rPr>
          <w:rFonts w:ascii="Times New Roman" w:eastAsia="Times New Roman" w:hAnsi="Times New Roman" w:cs="Times New Roman"/>
        </w:rPr>
        <w:t>О</w:t>
      </w:r>
      <w:r w:rsidRPr="00C03A62">
        <w:rPr>
          <w:rFonts w:ascii="Times New Roman" w:eastAsia="Times New Roman" w:hAnsi="Times New Roman" w:cs="Times New Roman"/>
          <w:iCs/>
        </w:rPr>
        <w:t xml:space="preserve">бъем строительных работ организаций, не относящихся к субъектам малого предпринимательства, составил 71 007,9 млн. рублей или 76,1% от его общего объема, из них строительно-монтажные работы по зданиям и сооружениям, выполненные </w:t>
      </w:r>
      <w:r w:rsidR="008C7DCB">
        <w:rPr>
          <w:rFonts w:ascii="Times New Roman" w:eastAsia="Times New Roman" w:hAnsi="Times New Roman" w:cs="Times New Roman"/>
          <w:iCs/>
        </w:rPr>
        <w:t>хозяйственным способом -</w:t>
      </w:r>
      <w:r w:rsidRPr="00C03A62">
        <w:rPr>
          <w:rFonts w:ascii="Times New Roman" w:eastAsia="Times New Roman" w:hAnsi="Times New Roman" w:cs="Times New Roman"/>
          <w:iCs/>
        </w:rPr>
        <w:t xml:space="preserve"> 6 079,5 млн. рублей.</w:t>
      </w:r>
    </w:p>
    <w:p w14:paraId="0794C8CB" w14:textId="77777777" w:rsidR="00C03A62" w:rsidRPr="00C03A62" w:rsidRDefault="00C03A62" w:rsidP="00C03A62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iCs/>
        </w:rPr>
      </w:pPr>
    </w:p>
    <w:p w14:paraId="71E7DB73" w14:textId="77777777" w:rsidR="00C03A62" w:rsidRPr="00C03A62" w:rsidRDefault="00C03A62" w:rsidP="00C03A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Cs w:val="20"/>
        </w:rPr>
      </w:pPr>
      <w:r w:rsidRPr="00C03A62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7BC8C4FB" wp14:editId="3E231CCF">
            <wp:extent cx="6045200" cy="2794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DAC475" w14:textId="77777777" w:rsidR="00C03A62" w:rsidRPr="00C03A62" w:rsidRDefault="00C03A62" w:rsidP="00C03A6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noProof/>
          <w:szCs w:val="20"/>
        </w:rPr>
      </w:pPr>
    </w:p>
    <w:p w14:paraId="71AFBC1B" w14:textId="77777777" w:rsidR="00C03A62" w:rsidRDefault="00C03A62" w:rsidP="00C03A6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 xml:space="preserve">За январь-июнь 2023 года на территории </w:t>
      </w:r>
      <w:r w:rsidRPr="00C03A62">
        <w:rPr>
          <w:rFonts w:ascii="Times New Roman" w:eastAsia="Times New Roman" w:hAnsi="Times New Roman" w:cs="Times New Roman"/>
        </w:rPr>
        <w:t>республики организациями всех форм собственности и населением построены и</w:t>
      </w:r>
      <w:r w:rsidRPr="00C03A62">
        <w:rPr>
          <w:rFonts w:ascii="Times New Roman" w:eastAsia="Times New Roman" w:hAnsi="Times New Roman" w:cs="Times New Roman"/>
          <w:szCs w:val="20"/>
        </w:rPr>
        <w:t xml:space="preserve"> введены 1799 жилых домов общей площадью 254,4 тыс. кв. метров, из них индивидуальными застройщиками построено 1757 домов общей площадью 137,5 тыс. кв. метров.</w:t>
      </w:r>
    </w:p>
    <w:p w14:paraId="61CF1CBC" w14:textId="77777777" w:rsidR="00251AF4" w:rsidRPr="00251AF4" w:rsidRDefault="00251AF4" w:rsidP="00251AF4">
      <w:pPr>
        <w:ind w:firstLine="709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251AF4">
        <w:rPr>
          <w:rFonts w:ascii="Times New Roman" w:eastAsia="Times New Roman" w:hAnsi="Times New Roman" w:cs="Times New Roman"/>
          <w:iCs/>
          <w:szCs w:val="20"/>
        </w:rPr>
        <w:lastRenderedPageBreak/>
        <w:t>Среди муниципальных районов и городских округов республики в январе-июне 2023 года наибольшие объемы жилищного строительства осуществлялись в ГО «Город Якутск», где было введено 56,4% от сданной в эксплуатацию общей площади жилья по республике в целом, Ленском улусе - 6,3%, Горном - 4,5%, Мегино-Кангаласском – 3,7%, Алданском - 3,6%.</w:t>
      </w:r>
    </w:p>
    <w:p w14:paraId="0152D557" w14:textId="77777777" w:rsidR="00251AF4" w:rsidRPr="00251AF4" w:rsidRDefault="00251AF4" w:rsidP="00C03A6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7DD03E75" w14:textId="77777777" w:rsidR="00C03A62" w:rsidRPr="00C03A62" w:rsidRDefault="00C03A62" w:rsidP="00C03A62">
      <w:pPr>
        <w:spacing w:after="0" w:line="240" w:lineRule="auto"/>
        <w:jc w:val="center"/>
        <w:rPr>
          <w:rFonts w:eastAsiaTheme="minorHAnsi"/>
          <w:noProof/>
          <w:sz w:val="20"/>
        </w:rPr>
      </w:pPr>
      <w:r w:rsidRPr="00C03A62">
        <w:rPr>
          <w:rFonts w:ascii="Arial" w:eastAsia="Times New Roman" w:hAnsi="Arial" w:cs="Arial"/>
          <w:b/>
          <w:sz w:val="20"/>
          <w:szCs w:val="20"/>
        </w:rPr>
        <w:t>ВВОД В ДЕЙСТВИЕ ЖИЛЫХ ДОМОВ ЗА ЯНВАРЬ-ИЮНЬ 2023 И 2022 ГГ.</w:t>
      </w:r>
      <w:r w:rsidRPr="00C03A62">
        <w:rPr>
          <w:rFonts w:eastAsiaTheme="minorHAnsi"/>
          <w:noProof/>
          <w:sz w:val="20"/>
        </w:rPr>
        <w:t xml:space="preserve"> </w:t>
      </w:r>
    </w:p>
    <w:p w14:paraId="38F90903" w14:textId="77777777" w:rsidR="00C03A62" w:rsidRPr="00C03A62" w:rsidRDefault="00C03A62" w:rsidP="00C03A6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3A62">
        <w:rPr>
          <w:rFonts w:ascii="Arial" w:eastAsiaTheme="minorHAnsi" w:hAnsi="Arial" w:cs="Arial"/>
          <w:noProof/>
          <w:sz w:val="20"/>
        </w:rPr>
        <w:t>(квадратных метров)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5"/>
        <w:gridCol w:w="1277"/>
        <w:gridCol w:w="1276"/>
        <w:gridCol w:w="1276"/>
        <w:gridCol w:w="1276"/>
        <w:gridCol w:w="1276"/>
      </w:tblGrid>
      <w:tr w:rsidR="00C03A62" w:rsidRPr="00C03A62" w14:paraId="7F06790C" w14:textId="77777777" w:rsidTr="008C7DCB">
        <w:trPr>
          <w:trHeight w:val="1457"/>
        </w:trPr>
        <w:tc>
          <w:tcPr>
            <w:tcW w:w="1950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9154" w14:textId="77777777" w:rsidR="00C03A62" w:rsidRPr="00C03A62" w:rsidRDefault="00C03A62" w:rsidP="00C03A62">
            <w:pPr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32A2B" w14:textId="77777777" w:rsidR="00C03A62" w:rsidRPr="00C03A62" w:rsidRDefault="00C03A62" w:rsidP="00C03A62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03A62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261409DA" wp14:editId="69CAA94A">
                  <wp:extent cx="1282700" cy="1111250"/>
                  <wp:effectExtent l="0" t="0" r="0" b="0"/>
                  <wp:docPr id="21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F1F497-828E-444E-A69E-A6A64B5682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20F1F497-828E-444E-A69E-A6A64B5682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22" cy="110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5879E" w14:textId="77777777" w:rsidR="00C03A62" w:rsidRPr="00C03A62" w:rsidRDefault="00C03A62" w:rsidP="00C03A62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03A62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1ECD6576" wp14:editId="48BA10B8">
                  <wp:extent cx="1054100" cy="946150"/>
                  <wp:effectExtent l="0" t="0" r="0" b="0"/>
                  <wp:docPr id="22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09A988-52C3-4A72-88AF-1D6E1A4834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D709A988-52C3-4A72-88AF-1D6E1A4834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94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083A1" w14:textId="77777777" w:rsidR="00C03A62" w:rsidRPr="00C03A62" w:rsidRDefault="00C03A62" w:rsidP="00C03A62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03A62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25204D2B" wp14:editId="633D3ACB">
                  <wp:extent cx="1047750" cy="946150"/>
                  <wp:effectExtent l="0" t="0" r="0" b="0"/>
                  <wp:docPr id="2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BFB806-BFBB-4B44-B6C4-1494437BD9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94BFB806-BFBB-4B44-B6C4-1494437BD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49" cy="94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A62" w:rsidRPr="00C03A62" w14:paraId="4973E24E" w14:textId="77777777" w:rsidTr="008C7DCB">
        <w:trPr>
          <w:trHeight w:val="392"/>
        </w:trPr>
        <w:tc>
          <w:tcPr>
            <w:tcW w:w="1950" w:type="dxa"/>
            <w:vMerge/>
            <w:tcBorders>
              <w:right w:val="single" w:sz="4" w:space="0" w:color="A6A6A6" w:themeColor="background1" w:themeShade="A6"/>
            </w:tcBorders>
          </w:tcPr>
          <w:p w14:paraId="365EBF17" w14:textId="77777777" w:rsidR="00C03A62" w:rsidRPr="00C03A62" w:rsidRDefault="00C03A62" w:rsidP="00C03A62">
            <w:pPr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5A766" w14:textId="77777777" w:rsidR="00C03A62" w:rsidRPr="00C03A62" w:rsidRDefault="00C03A62" w:rsidP="00C03A62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3F048" w14:textId="77777777" w:rsidR="00C03A62" w:rsidRPr="00C03A62" w:rsidRDefault="00C03A62" w:rsidP="00C03A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sz w:val="20"/>
                <w:szCs w:val="20"/>
              </w:rPr>
              <w:t>в городской местности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600A8" w14:textId="77777777" w:rsidR="00C03A62" w:rsidRPr="00C03A62" w:rsidRDefault="00C03A62" w:rsidP="00C03A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sz w:val="20"/>
                <w:szCs w:val="20"/>
              </w:rPr>
              <w:t>в сельской местности</w:t>
            </w:r>
          </w:p>
        </w:tc>
      </w:tr>
      <w:tr w:rsidR="00C03A62" w:rsidRPr="00C03A62" w14:paraId="48474B9B" w14:textId="77777777" w:rsidTr="008C7DCB">
        <w:trPr>
          <w:trHeight w:val="392"/>
        </w:trPr>
        <w:tc>
          <w:tcPr>
            <w:tcW w:w="195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DA9CB" w14:textId="77777777" w:rsidR="00C03A62" w:rsidRPr="00C03A62" w:rsidRDefault="00C03A62" w:rsidP="00C03A62">
            <w:pPr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7BA51" w14:textId="77777777" w:rsidR="00C03A62" w:rsidRPr="00C03A62" w:rsidRDefault="00C03A62" w:rsidP="00C03A6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03A62">
              <w:rPr>
                <w:rFonts w:ascii="Arial" w:eastAsia="Times New Roman" w:hAnsi="Arial" w:cs="Arial"/>
                <w:sz w:val="16"/>
                <w:szCs w:val="18"/>
              </w:rPr>
              <w:t>январь-июнь 2023 г.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3B315" w14:textId="77777777" w:rsidR="00C03A62" w:rsidRPr="00C03A62" w:rsidRDefault="00C03A62" w:rsidP="00C03A6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03A62">
              <w:rPr>
                <w:rFonts w:ascii="Arial" w:eastAsia="Times New Roman" w:hAnsi="Arial" w:cs="Arial"/>
                <w:sz w:val="16"/>
                <w:szCs w:val="18"/>
              </w:rPr>
              <w:t>январь-июнь 2022 г.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9F7A2" w14:textId="77777777" w:rsidR="00C03A62" w:rsidRPr="00C03A62" w:rsidRDefault="00C03A62" w:rsidP="00C03A6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03A62">
              <w:rPr>
                <w:rFonts w:ascii="Arial" w:eastAsia="Times New Roman" w:hAnsi="Arial" w:cs="Arial"/>
                <w:sz w:val="16"/>
                <w:szCs w:val="18"/>
              </w:rPr>
              <w:t>январь-июнь 2023 г.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DD4DF" w14:textId="77777777" w:rsidR="00C03A62" w:rsidRPr="00C03A62" w:rsidRDefault="00C03A62" w:rsidP="00C03A6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03A62">
              <w:rPr>
                <w:rFonts w:ascii="Arial" w:eastAsia="Times New Roman" w:hAnsi="Arial" w:cs="Arial"/>
                <w:sz w:val="16"/>
                <w:szCs w:val="18"/>
              </w:rPr>
              <w:t>январь-июнь 2022 г.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52BE" w14:textId="77777777" w:rsidR="00C03A62" w:rsidRPr="00C03A62" w:rsidRDefault="00C03A62" w:rsidP="00C03A6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03A62">
              <w:rPr>
                <w:rFonts w:ascii="Arial" w:eastAsia="Times New Roman" w:hAnsi="Arial" w:cs="Arial"/>
                <w:sz w:val="16"/>
                <w:szCs w:val="18"/>
              </w:rPr>
              <w:t>январь-июнь 2023 г.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1F13CC" w14:textId="77777777" w:rsidR="00C03A62" w:rsidRPr="00C03A62" w:rsidRDefault="00C03A62" w:rsidP="00C03A6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03A62">
              <w:rPr>
                <w:rFonts w:ascii="Arial" w:eastAsia="Times New Roman" w:hAnsi="Arial" w:cs="Arial"/>
                <w:sz w:val="16"/>
                <w:szCs w:val="18"/>
              </w:rPr>
              <w:t>январь-июнь 2022 г.</w:t>
            </w:r>
          </w:p>
        </w:tc>
      </w:tr>
      <w:tr w:rsidR="00C03A62" w:rsidRPr="00C03A62" w14:paraId="3E162C23" w14:textId="77777777" w:rsidTr="008C7DCB">
        <w:tc>
          <w:tcPr>
            <w:tcW w:w="1950" w:type="dxa"/>
            <w:tcBorders>
              <w:top w:val="single" w:sz="4" w:space="0" w:color="A6A6A6" w:themeColor="background1" w:themeShade="A6"/>
            </w:tcBorders>
          </w:tcPr>
          <w:p w14:paraId="722C529F" w14:textId="77777777" w:rsidR="00C03A62" w:rsidRPr="00C03A62" w:rsidRDefault="00C03A62" w:rsidP="00C03A62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bottom"/>
          </w:tcPr>
          <w:p w14:paraId="296A8B62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254 443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</w:tcBorders>
            <w:vAlign w:val="bottom"/>
          </w:tcPr>
          <w:p w14:paraId="7771FE8C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199 789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bottom"/>
          </w:tcPr>
          <w:p w14:paraId="6B3F39CB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176 280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bottom"/>
          </w:tcPr>
          <w:p w14:paraId="7399012D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123 100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bottom"/>
          </w:tcPr>
          <w:p w14:paraId="4FCF12DC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78 163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bottom"/>
          </w:tcPr>
          <w:p w14:paraId="561350F8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76 689</w:t>
            </w:r>
          </w:p>
        </w:tc>
      </w:tr>
      <w:tr w:rsidR="00C03A62" w:rsidRPr="00C03A62" w14:paraId="25525053" w14:textId="77777777" w:rsidTr="008C7DCB">
        <w:tc>
          <w:tcPr>
            <w:tcW w:w="1950" w:type="dxa"/>
          </w:tcPr>
          <w:p w14:paraId="73A7FFB9" w14:textId="77777777" w:rsidR="00C03A62" w:rsidRPr="00C03A62" w:rsidRDefault="00C03A62" w:rsidP="00C03A62">
            <w:pPr>
              <w:spacing w:before="12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sz w:val="20"/>
                <w:szCs w:val="20"/>
              </w:rPr>
              <w:t>юридическими лицами</w:t>
            </w:r>
          </w:p>
        </w:tc>
        <w:tc>
          <w:tcPr>
            <w:tcW w:w="1275" w:type="dxa"/>
            <w:vAlign w:val="bottom"/>
          </w:tcPr>
          <w:p w14:paraId="0F0A4137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116 972</w:t>
            </w:r>
          </w:p>
        </w:tc>
        <w:tc>
          <w:tcPr>
            <w:tcW w:w="1277" w:type="dxa"/>
            <w:vAlign w:val="bottom"/>
          </w:tcPr>
          <w:p w14:paraId="177488C4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37 202</w:t>
            </w:r>
          </w:p>
        </w:tc>
        <w:tc>
          <w:tcPr>
            <w:tcW w:w="1276" w:type="dxa"/>
            <w:vAlign w:val="bottom"/>
          </w:tcPr>
          <w:p w14:paraId="6CAF7A01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103 442</w:t>
            </w:r>
          </w:p>
        </w:tc>
        <w:tc>
          <w:tcPr>
            <w:tcW w:w="1276" w:type="dxa"/>
            <w:vAlign w:val="bottom"/>
          </w:tcPr>
          <w:p w14:paraId="22E8580C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36 777</w:t>
            </w:r>
          </w:p>
        </w:tc>
        <w:tc>
          <w:tcPr>
            <w:tcW w:w="1276" w:type="dxa"/>
            <w:vAlign w:val="bottom"/>
          </w:tcPr>
          <w:p w14:paraId="46869C8D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13 530</w:t>
            </w:r>
          </w:p>
        </w:tc>
        <w:tc>
          <w:tcPr>
            <w:tcW w:w="1276" w:type="dxa"/>
            <w:vAlign w:val="bottom"/>
          </w:tcPr>
          <w:p w14:paraId="35309F0C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425</w:t>
            </w:r>
          </w:p>
        </w:tc>
      </w:tr>
      <w:tr w:rsidR="00C03A62" w:rsidRPr="00C03A62" w14:paraId="16E5D091" w14:textId="77777777" w:rsidTr="008C7DCB">
        <w:tc>
          <w:tcPr>
            <w:tcW w:w="1950" w:type="dxa"/>
          </w:tcPr>
          <w:p w14:paraId="61E04622" w14:textId="77777777" w:rsidR="00C03A62" w:rsidRPr="00C03A62" w:rsidRDefault="00C03A62" w:rsidP="00C03A62">
            <w:pPr>
              <w:spacing w:before="12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sz w:val="20"/>
                <w:szCs w:val="20"/>
              </w:rPr>
              <w:t xml:space="preserve">населением </w:t>
            </w:r>
          </w:p>
        </w:tc>
        <w:tc>
          <w:tcPr>
            <w:tcW w:w="1275" w:type="dxa"/>
            <w:vAlign w:val="bottom"/>
          </w:tcPr>
          <w:p w14:paraId="73EF7937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137 471</w:t>
            </w:r>
          </w:p>
        </w:tc>
        <w:tc>
          <w:tcPr>
            <w:tcW w:w="1277" w:type="dxa"/>
            <w:vAlign w:val="bottom"/>
          </w:tcPr>
          <w:p w14:paraId="450A1E47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162 587</w:t>
            </w:r>
          </w:p>
        </w:tc>
        <w:tc>
          <w:tcPr>
            <w:tcW w:w="1276" w:type="dxa"/>
            <w:vAlign w:val="bottom"/>
          </w:tcPr>
          <w:p w14:paraId="303867D4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72 838</w:t>
            </w:r>
          </w:p>
        </w:tc>
        <w:tc>
          <w:tcPr>
            <w:tcW w:w="1276" w:type="dxa"/>
            <w:vAlign w:val="bottom"/>
          </w:tcPr>
          <w:p w14:paraId="7EF40847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86 323</w:t>
            </w:r>
          </w:p>
        </w:tc>
        <w:tc>
          <w:tcPr>
            <w:tcW w:w="1276" w:type="dxa"/>
            <w:vAlign w:val="bottom"/>
          </w:tcPr>
          <w:p w14:paraId="72EE8AF2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64 633</w:t>
            </w:r>
          </w:p>
        </w:tc>
        <w:tc>
          <w:tcPr>
            <w:tcW w:w="1276" w:type="dxa"/>
            <w:vAlign w:val="bottom"/>
          </w:tcPr>
          <w:p w14:paraId="44554932" w14:textId="77777777" w:rsidR="00C03A62" w:rsidRPr="00C03A62" w:rsidRDefault="00C03A62" w:rsidP="00C03A6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A62">
              <w:rPr>
                <w:rFonts w:ascii="Arial" w:eastAsia="Times New Roman" w:hAnsi="Arial" w:cs="Arial"/>
                <w:b/>
                <w:sz w:val="20"/>
                <w:szCs w:val="20"/>
              </w:rPr>
              <w:t>76 264</w:t>
            </w:r>
          </w:p>
        </w:tc>
      </w:tr>
    </w:tbl>
    <w:p w14:paraId="097F1682" w14:textId="77777777" w:rsidR="00C03A62" w:rsidRPr="00C03A62" w:rsidRDefault="00C03A62" w:rsidP="00C03A62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6B8F25CE" w14:textId="77777777" w:rsidR="00C03A62" w:rsidRPr="00C03A62" w:rsidRDefault="00C03A62" w:rsidP="00C03A62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>В эксплуатацию были введены 57 зданий нежилого назначения общей площадью 54,7 тыс. кв. метров.</w:t>
      </w:r>
    </w:p>
    <w:p w14:paraId="6DAA52F5" w14:textId="77777777" w:rsidR="00C03A62" w:rsidRPr="00C03A62" w:rsidRDefault="00C03A62" w:rsidP="00C03A62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F056539" wp14:editId="2F893F39">
            <wp:extent cx="5940425" cy="3158201"/>
            <wp:effectExtent l="0" t="0" r="3175" b="44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3D7C69" w14:textId="77777777" w:rsidR="00C03A62" w:rsidRPr="00C03A62" w:rsidRDefault="00C03A62" w:rsidP="00C03A6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 xml:space="preserve">Из них объекты социальной и производственной сферы: </w:t>
      </w:r>
    </w:p>
    <w:p w14:paraId="63DAA847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>детские сады на 160 мест;</w:t>
      </w:r>
    </w:p>
    <w:p w14:paraId="5676875B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>общеобразовательные организации на 746 ученических мест;</w:t>
      </w:r>
    </w:p>
    <w:p w14:paraId="1C33868D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>туристская база на 26 мест;</w:t>
      </w:r>
    </w:p>
    <w:p w14:paraId="7FBD968D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>торгово-офисные центры общей площадью 3 263 кв. метров;</w:t>
      </w:r>
    </w:p>
    <w:p w14:paraId="27459C6E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lastRenderedPageBreak/>
        <w:t>цех убоя скота мощностью 1 тонна в смену;</w:t>
      </w:r>
    </w:p>
    <w:p w14:paraId="348EEF85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C03A62">
        <w:rPr>
          <w:rFonts w:ascii="Times New Roman" w:eastAsia="Times New Roman" w:hAnsi="Times New Roman" w:cs="Times New Roman"/>
          <w:szCs w:val="20"/>
        </w:rPr>
        <w:t>нефтеемкости</w:t>
      </w:r>
      <w:proofErr w:type="spellEnd"/>
      <w:r w:rsidRPr="00C03A62">
        <w:rPr>
          <w:rFonts w:ascii="Times New Roman" w:eastAsia="Times New Roman" w:hAnsi="Times New Roman" w:cs="Times New Roman"/>
          <w:szCs w:val="20"/>
        </w:rPr>
        <w:t xml:space="preserve"> объемом 8 тыс. куб. метров;</w:t>
      </w:r>
    </w:p>
    <w:p w14:paraId="6A8786B3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>57 скважин нефтяных эксплуатационного бурения;</w:t>
      </w:r>
    </w:p>
    <w:p w14:paraId="6C476282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 xml:space="preserve">75,8 км. линий электропередачи мощностью 35 </w:t>
      </w:r>
      <w:proofErr w:type="spellStart"/>
      <w:r w:rsidRPr="00C03A62">
        <w:rPr>
          <w:rFonts w:ascii="Times New Roman" w:eastAsia="Times New Roman" w:hAnsi="Times New Roman" w:cs="Times New Roman"/>
          <w:szCs w:val="20"/>
        </w:rPr>
        <w:t>кВ</w:t>
      </w:r>
      <w:proofErr w:type="spellEnd"/>
      <w:r w:rsidRPr="00C03A62">
        <w:rPr>
          <w:rFonts w:ascii="Times New Roman" w:eastAsia="Times New Roman" w:hAnsi="Times New Roman" w:cs="Times New Roman"/>
          <w:szCs w:val="20"/>
        </w:rPr>
        <w:t xml:space="preserve"> и выше;</w:t>
      </w:r>
    </w:p>
    <w:p w14:paraId="099AFB22" w14:textId="77777777" w:rsidR="00C03A62" w:rsidRPr="00C03A62" w:rsidRDefault="00C03A62" w:rsidP="00C03A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szCs w:val="20"/>
        </w:rPr>
        <w:t xml:space="preserve">объекты теплоснабжения мощностью 11,6 </w:t>
      </w:r>
      <w:proofErr w:type="spellStart"/>
      <w:r w:rsidRPr="00C03A62">
        <w:rPr>
          <w:rFonts w:ascii="Times New Roman" w:eastAsia="Times New Roman" w:hAnsi="Times New Roman" w:cs="Times New Roman"/>
          <w:szCs w:val="20"/>
        </w:rPr>
        <w:t>Гигакалорий</w:t>
      </w:r>
      <w:proofErr w:type="spellEnd"/>
      <w:r w:rsidRPr="00C03A62">
        <w:rPr>
          <w:rFonts w:ascii="Times New Roman" w:eastAsia="Times New Roman" w:hAnsi="Times New Roman" w:cs="Times New Roman"/>
          <w:szCs w:val="20"/>
        </w:rPr>
        <w:t xml:space="preserve"> в час и другие.</w:t>
      </w:r>
    </w:p>
    <w:p w14:paraId="19A0FC07" w14:textId="77777777" w:rsidR="00C03A62" w:rsidRPr="00C03A62" w:rsidRDefault="00C03A62" w:rsidP="00C03A6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bCs/>
          <w:szCs w:val="20"/>
        </w:rPr>
        <w:t>Среднесписочная численность работников</w:t>
      </w:r>
      <w:r w:rsidRPr="00C03A62">
        <w:rPr>
          <w:rFonts w:ascii="Times New Roman" w:eastAsia="Times New Roman" w:hAnsi="Times New Roman" w:cs="Times New Roman"/>
          <w:szCs w:val="20"/>
        </w:rPr>
        <w:t xml:space="preserve"> организаций с видом деятельности «строительство» (с учетом субъектов малого предпринимательства - юридических лиц) за январь-май 2023 года составила 43 081 человек (11,9% от численности работников организаций всех видов экономической деятельности).</w:t>
      </w:r>
    </w:p>
    <w:p w14:paraId="7AFA9F93" w14:textId="289A2567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C03A62">
        <w:rPr>
          <w:rFonts w:ascii="Times New Roman" w:eastAsia="Times New Roman" w:hAnsi="Times New Roman" w:cs="Times New Roman"/>
          <w:bCs/>
          <w:szCs w:val="20"/>
        </w:rPr>
        <w:t xml:space="preserve">За январь-май 2022 года у организаций с </w:t>
      </w:r>
      <w:r w:rsidRPr="00C03A62">
        <w:rPr>
          <w:rFonts w:ascii="Times New Roman" w:eastAsia="Times New Roman" w:hAnsi="Times New Roman" w:cs="Times New Roman"/>
          <w:szCs w:val="20"/>
        </w:rPr>
        <w:t>видом деятельности «строительство» сложился положительный с</w:t>
      </w:r>
      <w:r w:rsidRPr="00C03A62">
        <w:rPr>
          <w:rFonts w:ascii="Times New Roman" w:eastAsia="Times New Roman" w:hAnsi="Times New Roman" w:cs="Times New Roman"/>
          <w:bCs/>
          <w:szCs w:val="20"/>
        </w:rPr>
        <w:t>альдированный финансовый результат</w:t>
      </w:r>
      <w:r w:rsidRPr="00C03A62">
        <w:rPr>
          <w:rFonts w:ascii="Times New Roman" w:eastAsia="Times New Roman" w:hAnsi="Times New Roman" w:cs="Times New Roman"/>
          <w:szCs w:val="20"/>
        </w:rPr>
        <w:t xml:space="preserve"> (прибыль минус убыток) в сумме 722,2  млн. рублей.</w:t>
      </w:r>
    </w:p>
    <w:p w14:paraId="3C99B1A4" w14:textId="6F40B685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20A6F345" w14:textId="3FCF67B9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2CAECE4" w14:textId="0DEEA1A6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6BC2756" w14:textId="4B3DD367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DE3E2FF" w14:textId="4A881C8A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62BBB40C" w14:textId="55F70900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01211A46" w14:textId="6DF997AA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7050F91" w14:textId="3832EA72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458D6CE" w14:textId="2F3569F0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2F2DF282" w14:textId="10BD224C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42D97282" w14:textId="2B0AC835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57AF7112" w14:textId="009194E3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6C0977AB" w14:textId="4240C598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49E941F1" w14:textId="14939FB5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7E629E78" w14:textId="286658E2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796C902B" w14:textId="54E3B90E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3F3F3C9B" w14:textId="7804DD13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6DA208C7" w14:textId="7C37A344" w:rsid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7996D0C" w14:textId="77777777" w:rsidR="00C03A62" w:rsidRPr="00C03A62" w:rsidRDefault="00C03A62" w:rsidP="00C03A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0D1E5E" w:rsidRPr="008F3F2E" w14:paraId="2B3C42E9" w14:textId="77777777" w:rsidTr="000D1E5E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005C5F59" w14:textId="77777777" w:rsidR="000D1E5E" w:rsidRPr="008D5CAB" w:rsidRDefault="000D1E5E" w:rsidP="00C0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2C28384" w14:textId="77777777" w:rsidR="000D1E5E" w:rsidRPr="008F3F2E" w:rsidRDefault="000D1E5E" w:rsidP="000D1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D9068C" wp14:editId="1BDD08EC">
                  <wp:extent cx="590550" cy="590550"/>
                  <wp:effectExtent l="0" t="0" r="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188"/>
        <w:gridCol w:w="2393"/>
        <w:gridCol w:w="2393"/>
      </w:tblGrid>
      <w:tr w:rsidR="000D1E5E" w:rsidRPr="001F0770" w14:paraId="23D96D91" w14:textId="77777777" w:rsidTr="000D1E5E">
        <w:trPr>
          <w:jc w:val="center"/>
        </w:trPr>
        <w:tc>
          <w:tcPr>
            <w:tcW w:w="1296" w:type="pct"/>
          </w:tcPr>
          <w:p w14:paraId="41DFB258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09ABF3F8" wp14:editId="24BB2758">
                  <wp:extent cx="603250" cy="603250"/>
                  <wp:effectExtent l="19050" t="0" r="6350" b="0"/>
                  <wp:docPr id="12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9C1AC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Сайт</w:t>
            </w:r>
          </w:p>
          <w:p w14:paraId="0017A5F3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proofErr w:type="gramStart"/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Саха(</w:t>
            </w:r>
            <w:proofErr w:type="gramEnd"/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Якутия)</w:t>
            </w:r>
            <w:proofErr w:type="spellStart"/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стата</w:t>
            </w:r>
            <w:proofErr w:type="spellEnd"/>
          </w:p>
          <w:p w14:paraId="2646132D" w14:textId="77777777" w:rsidR="000D1E5E" w:rsidRPr="008948BD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hyperlink r:id="rId17" w:history="1"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http</w:t>
              </w:r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</w:rPr>
                <w:t>://14.</w:t>
              </w:r>
              <w:proofErr w:type="spellStart"/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rosstat</w:t>
              </w:r>
              <w:proofErr w:type="spellEnd"/>
              <w:r w:rsidRPr="008948BD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</w:rPr>
                <w:t>.</w:t>
              </w:r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gov</w:t>
              </w:r>
              <w:r w:rsidRPr="008948BD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</w:rPr>
                <w:t>.</w:t>
              </w:r>
              <w:proofErr w:type="spellStart"/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ru</w:t>
              </w:r>
              <w:proofErr w:type="spellEnd"/>
            </w:hyperlink>
            <w:r w:rsidRPr="008948BD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62" w:type="pct"/>
          </w:tcPr>
          <w:p w14:paraId="695A6C27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lastRenderedPageBreak/>
              <w:drawing>
                <wp:inline distT="0" distB="0" distL="0" distR="0" wp14:anchorId="3AE121ED" wp14:editId="69DF5B75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41498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Вконтакте</w:t>
            </w:r>
            <w:proofErr w:type="spellEnd"/>
          </w:p>
          <w:p w14:paraId="4AC6F1CC" w14:textId="744F5E83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(</w:t>
            </w:r>
            <w:hyperlink r:id="rId19" w:history="1"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vk.com/</w:t>
              </w:r>
              <w:proofErr w:type="spellStart"/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sakhastat</w:t>
              </w:r>
              <w:proofErr w:type="spellEnd"/>
            </w:hyperlink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271" w:type="pct"/>
          </w:tcPr>
          <w:p w14:paraId="4D36EC23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lastRenderedPageBreak/>
              <w:drawing>
                <wp:inline distT="0" distB="0" distL="0" distR="0" wp14:anchorId="38C499F4" wp14:editId="6953088B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DCA10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Одноклассники</w:t>
            </w:r>
          </w:p>
          <w:p w14:paraId="5F0DAF5D" w14:textId="1056995E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hyperlink r:id="rId21" w:history="1"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ok.ru/</w:t>
              </w:r>
              <w:proofErr w:type="spellStart"/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sakhastat</w:t>
              </w:r>
              <w:proofErr w:type="spellEnd"/>
            </w:hyperlink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271" w:type="pct"/>
          </w:tcPr>
          <w:p w14:paraId="2B0D5DAD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lastRenderedPageBreak/>
              <w:drawing>
                <wp:inline distT="0" distB="0" distL="0" distR="0" wp14:anchorId="317BB3B5" wp14:editId="71AA0037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F75FD" w14:textId="77777777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lastRenderedPageBreak/>
              <w:t>Telegram</w:t>
            </w:r>
          </w:p>
          <w:p w14:paraId="43EE30F8" w14:textId="67FC2011" w:rsidR="000D1E5E" w:rsidRPr="001F0770" w:rsidRDefault="000D1E5E" w:rsidP="000D1E5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hyperlink r:id="rId23" w:history="1"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t.me/</w:t>
              </w:r>
              <w:proofErr w:type="spellStart"/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statinfoykt</w:t>
              </w:r>
              <w:proofErr w:type="spellEnd"/>
            </w:hyperlink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14:paraId="674D147D" w14:textId="77777777" w:rsidR="000D1E5E" w:rsidRDefault="000D1E5E"/>
    <w:sectPr w:rsidR="000D1E5E" w:rsidSect="0016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306"/>
    <w:multiLevelType w:val="hybridMultilevel"/>
    <w:tmpl w:val="46769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954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E5E"/>
    <w:rsid w:val="000475BF"/>
    <w:rsid w:val="0006323D"/>
    <w:rsid w:val="000D1E5E"/>
    <w:rsid w:val="0014155D"/>
    <w:rsid w:val="001543C0"/>
    <w:rsid w:val="001646C5"/>
    <w:rsid w:val="0018241A"/>
    <w:rsid w:val="00185EC3"/>
    <w:rsid w:val="0019234C"/>
    <w:rsid w:val="002112DC"/>
    <w:rsid w:val="0024317A"/>
    <w:rsid w:val="002473BD"/>
    <w:rsid w:val="00251AF4"/>
    <w:rsid w:val="003B37AA"/>
    <w:rsid w:val="003F49D4"/>
    <w:rsid w:val="004B5CB4"/>
    <w:rsid w:val="004B6CEA"/>
    <w:rsid w:val="00556FE2"/>
    <w:rsid w:val="005D6585"/>
    <w:rsid w:val="00746EB4"/>
    <w:rsid w:val="00754D53"/>
    <w:rsid w:val="00794970"/>
    <w:rsid w:val="007C495E"/>
    <w:rsid w:val="007E2CE3"/>
    <w:rsid w:val="007E3A61"/>
    <w:rsid w:val="008375BE"/>
    <w:rsid w:val="00842DAE"/>
    <w:rsid w:val="00857E0C"/>
    <w:rsid w:val="00872BD6"/>
    <w:rsid w:val="008852E0"/>
    <w:rsid w:val="008C7DCB"/>
    <w:rsid w:val="00983542"/>
    <w:rsid w:val="00A10802"/>
    <w:rsid w:val="00A301AD"/>
    <w:rsid w:val="00A33346"/>
    <w:rsid w:val="00A95862"/>
    <w:rsid w:val="00AA0CF3"/>
    <w:rsid w:val="00AB2B27"/>
    <w:rsid w:val="00AC6DE5"/>
    <w:rsid w:val="00AD1D1E"/>
    <w:rsid w:val="00AD6DA5"/>
    <w:rsid w:val="00B353DB"/>
    <w:rsid w:val="00C03A62"/>
    <w:rsid w:val="00C6147D"/>
    <w:rsid w:val="00CA2D13"/>
    <w:rsid w:val="00CA2DD6"/>
    <w:rsid w:val="00E42E30"/>
    <w:rsid w:val="00ED6A8C"/>
    <w:rsid w:val="00EE25C6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2AD7"/>
  <w15:docId w15:val="{B94C26EA-2B8E-4197-8245-2947D1E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E5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B5CB4"/>
    <w:pPr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CB4"/>
    <w:rPr>
      <w:rFonts w:ascii="Times New Roman" w:eastAsia="Batang" w:hAnsi="Times New Roman" w:cs="Times New Roman"/>
      <w:b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03A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3A62"/>
  </w:style>
  <w:style w:type="table" w:customStyle="1" w:styleId="1">
    <w:name w:val="Сетка таблицы1"/>
    <w:basedOn w:val="a1"/>
    <w:next w:val="a3"/>
    <w:uiPriority w:val="59"/>
    <w:rsid w:val="00C03A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05_&#1084;&#1072;&#1081;\ok.ru\sakhastat" TargetMode="External"/><Relationship Id="rId7" Type="http://schemas.openxmlformats.org/officeDocument/2006/relationships/chart" Target="charts/chart1.xml"/><Relationship Id="rId12" Type="http://schemas.openxmlformats.org/officeDocument/2006/relationships/image" Target="media/image8.png"/><Relationship Id="rId17" Type="http://schemas.openxmlformats.org/officeDocument/2006/relationships/hyperlink" Target="http://14.rosstat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05_&#1084;&#1072;&#1081;\t.me\statinfoykt" TargetMode="External"/><Relationship Id="rId10" Type="http://schemas.openxmlformats.org/officeDocument/2006/relationships/image" Target="media/image6.png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05_&#1084;&#1072;&#1081;\vk.com\sakhast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chart" Target="charts/chart2.xml"/><Relationship Id="rId22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Arial" pitchFamily="34" charset="0"/>
                <a:cs typeface="Arial" pitchFamily="34" charset="0"/>
              </a:rPr>
              <a:t>ОБЪЕМ РАБОТ ПО</a:t>
            </a:r>
            <a:r>
              <a:rPr lang="ru-RU" sz="1000" baseline="0">
                <a:latin typeface="Arial" pitchFamily="34" charset="0"/>
                <a:cs typeface="Arial" pitchFamily="34" charset="0"/>
              </a:rPr>
              <a:t> ДОГОВОРАМ СТРОИТЕЛЬНОГО ПОДРЯДА</a:t>
            </a:r>
          </a:p>
          <a:p>
            <a:pPr>
              <a:defRPr/>
            </a:pPr>
            <a:r>
              <a:rPr lang="ru-RU" sz="1000" baseline="0">
                <a:latin typeface="Arial" pitchFamily="34" charset="0"/>
                <a:cs typeface="Arial" pitchFamily="34" charset="0"/>
              </a:rPr>
              <a:t>(в % к итогу)</a:t>
            </a:r>
            <a:endParaRPr lang="ru-RU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РАБОТ ПО ДОГОВОРАМ СТРОИТЕЛЬНОГО ПОДРЯДА</c:v>
                </c:pt>
              </c:strCache>
            </c:strRef>
          </c:tx>
          <c:dPt>
            <c:idx val="0"/>
            <c:bubble3D val="0"/>
            <c:spPr>
              <a:solidFill>
                <a:srgbClr val="283583"/>
              </a:solidFill>
            </c:spPr>
            <c:extLst>
              <c:ext xmlns:c16="http://schemas.microsoft.com/office/drawing/2014/chart" uri="{C3380CC4-5D6E-409C-BE32-E72D297353CC}">
                <c16:uniqueId val="{00000001-D1AC-4445-9524-000C9BCD8CD5}"/>
              </c:ext>
            </c:extLst>
          </c:dPt>
          <c:dPt>
            <c:idx val="1"/>
            <c:bubble3D val="0"/>
            <c:spPr>
              <a:solidFill>
                <a:srgbClr val="E0002B"/>
              </a:solidFill>
            </c:spPr>
            <c:extLst>
              <c:ext xmlns:c16="http://schemas.microsoft.com/office/drawing/2014/chart" uri="{C3380CC4-5D6E-409C-BE32-E72D297353CC}">
                <c16:uniqueId val="{00000003-D1AC-4445-9524-000C9BCD8CD5}"/>
              </c:ext>
            </c:extLst>
          </c:dPt>
          <c:dPt>
            <c:idx val="2"/>
            <c:bubble3D val="0"/>
            <c:spPr>
              <a:solidFill>
                <a:srgbClr val="4FAF4F"/>
              </a:solidFill>
            </c:spPr>
            <c:extLst>
              <c:ext xmlns:c16="http://schemas.microsoft.com/office/drawing/2014/chart" uri="{C3380CC4-5D6E-409C-BE32-E72D297353CC}">
                <c16:uniqueId val="{00000005-D1AC-4445-9524-000C9BCD8CD5}"/>
              </c:ext>
            </c:extLst>
          </c:dPt>
          <c:dLbls>
            <c:dLbl>
              <c:idx val="0"/>
              <c:layout>
                <c:manualLayout>
                  <c:x val="2.7777777777777832E-2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AC-4445-9524-000C9BCD8CD5}"/>
                </c:ext>
              </c:extLst>
            </c:dLbl>
            <c:dLbl>
              <c:idx val="1"/>
              <c:layout>
                <c:manualLayout>
                  <c:x val="8.1018518518518504E-2"/>
                  <c:y val="0.10317460317460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AC-4445-9524-000C9BCD8CD5}"/>
                </c:ext>
              </c:extLst>
            </c:dLbl>
            <c:dLbl>
              <c:idx val="2"/>
              <c:layout>
                <c:manualLayout>
                  <c:x val="-0.1064814814814815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AC-4445-9524-000C9BCD8CD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строительство зданий</c:v>
                </c:pt>
                <c:pt idx="1">
                  <c:v>строительство инженерных сооружений</c:v>
                </c:pt>
                <c:pt idx="2">
                  <c:v>работы строительные специализированные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9.6000000000000002E-2</c:v>
                </c:pt>
                <c:pt idx="1">
                  <c:v>0.52800000000000002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1AC-4445-9524-000C9BCD8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846622113412297"/>
          <c:y val="0.32341553328561201"/>
          <c:w val="0.27439092172301993"/>
          <c:h val="0.3531689334287759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Arial" pitchFamily="34" charset="0"/>
                <a:cs typeface="Arial" pitchFamily="34" charset="0"/>
              </a:rPr>
              <a:t>СТРУКТУРА</a:t>
            </a:r>
            <a:r>
              <a:rPr lang="ru-RU" sz="1000" baseline="0">
                <a:latin typeface="Arial" pitchFamily="34" charset="0"/>
                <a:cs typeface="Arial" pitchFamily="34" charset="0"/>
              </a:rPr>
              <a:t> ВВЕДЕННЫХ ЗДАНИЙ НЕЖИЛОГО НАЗНАЧЕНИЯ</a:t>
            </a:r>
          </a:p>
          <a:p>
            <a:pPr>
              <a:defRPr sz="1000"/>
            </a:pPr>
            <a:r>
              <a:rPr lang="ru-RU" sz="1000" baseline="0">
                <a:latin typeface="Arial" pitchFamily="34" charset="0"/>
                <a:cs typeface="Arial" pitchFamily="34" charset="0"/>
              </a:rPr>
              <a:t> (в % от общего количества)</a:t>
            </a:r>
          </a:p>
        </c:rich>
      </c:tx>
      <c:layout>
        <c:manualLayout>
          <c:xMode val="edge"/>
          <c:yMode val="edge"/>
          <c:x val="0.18093537078576027"/>
          <c:y val="2.8152020912929822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СТРУТКРУА ВВДЕНЕННЫХ ЗДАНИЙ НЕЖИЛОГО НАЗНАЧЕНИЯ</c:v>
                </c:pt>
              </c:strCache>
            </c:strRef>
          </c:tx>
          <c:dPt>
            <c:idx val="0"/>
            <c:bubble3D val="0"/>
            <c:spPr>
              <a:solidFill>
                <a:srgbClr val="71309D"/>
              </a:solidFill>
            </c:spPr>
            <c:extLst>
              <c:ext xmlns:c16="http://schemas.microsoft.com/office/drawing/2014/chart" uri="{C3380CC4-5D6E-409C-BE32-E72D297353CC}">
                <c16:uniqueId val="{00000001-8D8B-4249-8419-7754E9A06AC1}"/>
              </c:ext>
            </c:extLst>
          </c:dPt>
          <c:dPt>
            <c:idx val="1"/>
            <c:bubble3D val="0"/>
            <c:spPr>
              <a:solidFill>
                <a:srgbClr val="E0002B"/>
              </a:solidFill>
            </c:spPr>
            <c:extLst>
              <c:ext xmlns:c16="http://schemas.microsoft.com/office/drawing/2014/chart" uri="{C3380CC4-5D6E-409C-BE32-E72D297353CC}">
                <c16:uniqueId val="{00000003-8D8B-4249-8419-7754E9A06AC1}"/>
              </c:ext>
            </c:extLst>
          </c:dPt>
          <c:dPt>
            <c:idx val="2"/>
            <c:bubble3D val="0"/>
            <c:spPr>
              <a:solidFill>
                <a:srgbClr val="4FAF4F"/>
              </a:solidFill>
            </c:spPr>
            <c:extLst>
              <c:ext xmlns:c16="http://schemas.microsoft.com/office/drawing/2014/chart" uri="{C3380CC4-5D6E-409C-BE32-E72D297353CC}">
                <c16:uniqueId val="{00000005-8D8B-4249-8419-7754E9A06AC1}"/>
              </c:ext>
            </c:extLst>
          </c:dPt>
          <c:dPt>
            <c:idx val="3"/>
            <c:bubble3D val="0"/>
            <c:spPr>
              <a:solidFill>
                <a:srgbClr val="283583"/>
              </a:solidFill>
            </c:spPr>
            <c:extLst>
              <c:ext xmlns:c16="http://schemas.microsoft.com/office/drawing/2014/chart" uri="{C3380CC4-5D6E-409C-BE32-E72D297353CC}">
                <c16:uniqueId val="{00000007-8D8B-4249-8419-7754E9A06AC1}"/>
              </c:ext>
            </c:extLst>
          </c:dPt>
          <c:dPt>
            <c:idx val="4"/>
            <c:bubble3D val="0"/>
            <c:spPr>
              <a:solidFill>
                <a:srgbClr val="EB5F60"/>
              </a:solidFill>
            </c:spPr>
            <c:extLst>
              <c:ext xmlns:c16="http://schemas.microsoft.com/office/drawing/2014/chart" uri="{C3380CC4-5D6E-409C-BE32-E72D297353CC}">
                <c16:uniqueId val="{00000009-8D8B-4249-8419-7754E9A06AC1}"/>
              </c:ext>
            </c:extLst>
          </c:dPt>
          <c:dPt>
            <c:idx val="5"/>
            <c:bubble3D val="0"/>
            <c:spPr>
              <a:solidFill>
                <a:srgbClr val="459966"/>
              </a:solidFill>
            </c:spPr>
            <c:extLst>
              <c:ext xmlns:c16="http://schemas.microsoft.com/office/drawing/2014/chart" uri="{C3380CC4-5D6E-409C-BE32-E72D297353CC}">
                <c16:uniqueId val="{0000000B-8D8B-4249-8419-7754E9A06AC1}"/>
              </c:ext>
            </c:extLst>
          </c:dPt>
          <c:dPt>
            <c:idx val="6"/>
            <c:bubble3D val="0"/>
            <c:spPr>
              <a:solidFill>
                <a:srgbClr val="FFC33E"/>
              </a:solidFill>
            </c:spPr>
            <c:extLst>
              <c:ext xmlns:c16="http://schemas.microsoft.com/office/drawing/2014/chart" uri="{C3380CC4-5D6E-409C-BE32-E72D297353CC}">
                <c16:uniqueId val="{0000000D-8D8B-4249-8419-7754E9A06AC1}"/>
              </c:ext>
            </c:extLst>
          </c:dPt>
          <c:dLbls>
            <c:dLbl>
              <c:idx val="0"/>
              <c:layout>
                <c:manualLayout>
                  <c:x val="2.5462962962962975E-2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8B-4249-8419-7754E9A06AC1}"/>
                </c:ext>
              </c:extLst>
            </c:dLbl>
            <c:dLbl>
              <c:idx val="1"/>
              <c:layout>
                <c:manualLayout>
                  <c:x val="8.7962962962963034E-2"/>
                  <c:y val="-1.9841269841269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8B-4249-8419-7754E9A06AC1}"/>
                </c:ext>
              </c:extLst>
            </c:dLbl>
            <c:dLbl>
              <c:idx val="2"/>
              <c:layout>
                <c:manualLayout>
                  <c:x val="4.6296296296296328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8B-4249-8419-7754E9A06AC1}"/>
                </c:ext>
              </c:extLst>
            </c:dLbl>
            <c:dLbl>
              <c:idx val="3"/>
              <c:layout>
                <c:manualLayout>
                  <c:x val="8.0841803985941874E-2"/>
                  <c:y val="8.431041845388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8B-4249-8419-7754E9A06AC1}"/>
                </c:ext>
              </c:extLst>
            </c:dLbl>
            <c:dLbl>
              <c:idx val="4"/>
              <c:layout>
                <c:manualLayout>
                  <c:x val="8.1018582822989668E-2"/>
                  <c:y val="0.10036088685918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8B-4249-8419-7754E9A06AC1}"/>
                </c:ext>
              </c:extLst>
            </c:dLbl>
            <c:dLbl>
              <c:idx val="5"/>
              <c:layout>
                <c:manualLayout>
                  <c:x val="6.4814814814814853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8B-4249-8419-7754E9A06AC1}"/>
                </c:ext>
              </c:extLst>
            </c:dLbl>
            <c:dLbl>
              <c:idx val="6"/>
              <c:layout>
                <c:manualLayout>
                  <c:x val="-8.7962962962963034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8B-4249-8419-7754E9A06AC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промышленные </c:v>
                </c:pt>
                <c:pt idx="1">
                  <c:v>сельскохозяйственные</c:v>
                </c:pt>
                <c:pt idx="2">
                  <c:v>коммерческие</c:v>
                </c:pt>
                <c:pt idx="3">
                  <c:v>административные</c:v>
                </c:pt>
                <c:pt idx="4">
                  <c:v>учебные заведения</c:v>
                </c:pt>
                <c:pt idx="5">
                  <c:v>здравоохранения</c:v>
                </c:pt>
                <c:pt idx="6">
                  <c:v>другие здания</c:v>
                </c:pt>
              </c:strCache>
            </c:strRef>
          </c:cat>
          <c:val>
            <c:numRef>
              <c:f>Лист1!$B$2:$B$8</c:f>
              <c:numCache>
                <c:formatCode>0\,0%</c:formatCode>
                <c:ptCount val="7"/>
                <c:pt idx="0">
                  <c:v>0.10695079568319005</c:v>
                </c:pt>
                <c:pt idx="1">
                  <c:v>0.1416681909639656</c:v>
                </c:pt>
                <c:pt idx="3">
                  <c:v>9.8006219132979702E-2</c:v>
                </c:pt>
                <c:pt idx="4">
                  <c:v>0.27923907078836657</c:v>
                </c:pt>
                <c:pt idx="6">
                  <c:v>0.37413572343149809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D8B-4249-8419-7754E9A06A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2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1505069081757622"/>
          <c:y val="0.44018170561979569"/>
          <c:w val="0.23791563734917956"/>
          <c:h val="0.32072245242419301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0.28908</cdr:x>
      <cdr:y>0.49212</cdr:y>
    </cdr:from>
    <cdr:to>
      <cdr:x>0.41899</cdr:x>
      <cdr:y>0.6667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47520" y="1374986"/>
          <a:ext cx="785335" cy="4877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P14_SolovievaIV</dc:creator>
  <cp:keywords/>
  <dc:description/>
  <cp:lastModifiedBy>Витюк Катарина Николаевна</cp:lastModifiedBy>
  <cp:revision>12</cp:revision>
  <cp:lastPrinted>2023-08-10T09:25:00Z</cp:lastPrinted>
  <dcterms:created xsi:type="dcterms:W3CDTF">2023-08-10T07:37:00Z</dcterms:created>
  <dcterms:modified xsi:type="dcterms:W3CDTF">2023-08-10T09:27:00Z</dcterms:modified>
</cp:coreProperties>
</file>